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B66" w:rsidRPr="0036640E" w:rsidRDefault="00464B66" w:rsidP="00464B66">
      <w:pPr>
        <w:pageBreakBefore/>
        <w:shd w:val="clear" w:color="auto" w:fill="FFFFFF"/>
        <w:spacing w:before="120" w:line="360" w:lineRule="auto"/>
        <w:jc w:val="center"/>
        <w:rPr>
          <w:b/>
          <w:sz w:val="28"/>
          <w:szCs w:val="28"/>
          <w:u w:val="single"/>
        </w:rPr>
      </w:pPr>
      <w:r w:rsidRPr="0036640E">
        <w:rPr>
          <w:b/>
          <w:sz w:val="28"/>
          <w:szCs w:val="28"/>
          <w:u w:val="single"/>
        </w:rPr>
        <w:t>PHỤ LỤ</w:t>
      </w:r>
      <w:r w:rsidR="007549A6">
        <w:rPr>
          <w:b/>
          <w:sz w:val="28"/>
          <w:szCs w:val="28"/>
          <w:u w:val="single"/>
        </w:rPr>
        <w:t>C</w:t>
      </w:r>
    </w:p>
    <w:p w:rsidR="00EE7DC0" w:rsidRDefault="00464B66" w:rsidP="00464B66">
      <w:pPr>
        <w:rPr>
          <w:rFonts w:cs="Times New Roman"/>
          <w:i/>
          <w:szCs w:val="26"/>
        </w:rPr>
      </w:pPr>
      <w:r w:rsidRPr="004F2968">
        <w:rPr>
          <w:i/>
          <w:szCs w:val="26"/>
        </w:rPr>
        <w:t xml:space="preserve">Các bước thực hiện dự án khi tham gia chương trình kích cầu đầu tư theo Quyết định số 50/2015/UBND ngày 30/10/2015 của </w:t>
      </w:r>
      <w:r w:rsidRPr="004F2968">
        <w:rPr>
          <w:rFonts w:cs="Times New Roman"/>
          <w:i/>
          <w:szCs w:val="26"/>
        </w:rPr>
        <w:t>UBND TP.HCM Ban hành quy định về thực hiện Chương trình kích cầu đầu tư của Thành phố Hồ Chí Minh</w:t>
      </w:r>
    </w:p>
    <w:p w:rsidR="00464B66" w:rsidRDefault="00464B66" w:rsidP="00464B66"/>
    <w:tbl>
      <w:tblPr>
        <w:tblStyle w:val="TableGrid"/>
        <w:tblW w:w="13728" w:type="dxa"/>
        <w:tblInd w:w="-480" w:type="dxa"/>
        <w:tblLook w:val="04A0"/>
      </w:tblPr>
      <w:tblGrid>
        <w:gridCol w:w="3198"/>
        <w:gridCol w:w="5760"/>
        <w:gridCol w:w="4770"/>
      </w:tblGrid>
      <w:tr w:rsidR="00C34CF1" w:rsidRPr="004B5120" w:rsidTr="009D70D2">
        <w:trPr>
          <w:trHeight w:val="567"/>
          <w:tblHeader/>
        </w:trPr>
        <w:tc>
          <w:tcPr>
            <w:tcW w:w="3198" w:type="dxa"/>
            <w:vAlign w:val="center"/>
          </w:tcPr>
          <w:p w:rsidR="00464B66" w:rsidRPr="004B5120" w:rsidRDefault="00464B66" w:rsidP="00D2199A">
            <w:pPr>
              <w:jc w:val="center"/>
              <w:rPr>
                <w:rFonts w:cs="Times New Roman"/>
                <w:b/>
              </w:rPr>
            </w:pPr>
            <w:r w:rsidRPr="004B5120">
              <w:rPr>
                <w:rFonts w:cs="Times New Roman"/>
                <w:b/>
              </w:rPr>
              <w:t>CÁC BƯỚC THỰC HIỆN</w:t>
            </w:r>
          </w:p>
        </w:tc>
        <w:tc>
          <w:tcPr>
            <w:tcW w:w="5760" w:type="dxa"/>
            <w:vAlign w:val="center"/>
          </w:tcPr>
          <w:p w:rsidR="00464B66" w:rsidRPr="004B5120" w:rsidRDefault="00464B66" w:rsidP="00D2199A">
            <w:pPr>
              <w:jc w:val="center"/>
              <w:rPr>
                <w:rFonts w:cs="Times New Roman"/>
                <w:b/>
              </w:rPr>
            </w:pPr>
            <w:r w:rsidRPr="004B5120">
              <w:rPr>
                <w:rFonts w:cs="Times New Roman"/>
                <w:b/>
              </w:rPr>
              <w:t>NỘI DUNG CÔNG VIỆC</w:t>
            </w:r>
          </w:p>
        </w:tc>
        <w:tc>
          <w:tcPr>
            <w:tcW w:w="4770" w:type="dxa"/>
            <w:vAlign w:val="center"/>
          </w:tcPr>
          <w:p w:rsidR="00464B66" w:rsidRPr="004B5120" w:rsidRDefault="00464B66" w:rsidP="00D2199A">
            <w:pPr>
              <w:jc w:val="center"/>
              <w:rPr>
                <w:rFonts w:cs="Times New Roman"/>
                <w:b/>
              </w:rPr>
            </w:pPr>
            <w:r w:rsidRPr="004B5120">
              <w:rPr>
                <w:rFonts w:cs="Times New Roman"/>
                <w:b/>
              </w:rPr>
              <w:t>ĐƠN VỊ THỰC HIỆN</w:t>
            </w:r>
          </w:p>
        </w:tc>
      </w:tr>
      <w:tr w:rsidR="00C34CF1" w:rsidRPr="00BB1F45" w:rsidTr="009D70D2">
        <w:trPr>
          <w:trHeight w:val="567"/>
        </w:trPr>
        <w:tc>
          <w:tcPr>
            <w:tcW w:w="3198" w:type="dxa"/>
          </w:tcPr>
          <w:p w:rsidR="00464B66" w:rsidRPr="007A2CBC" w:rsidRDefault="00464B66" w:rsidP="00D2199A">
            <w:pPr>
              <w:rPr>
                <w:rFonts w:cs="Times New Roman"/>
                <w:b/>
              </w:rPr>
            </w:pPr>
            <w:r w:rsidRPr="007A2CBC">
              <w:rPr>
                <w:rFonts w:cs="Times New Roman"/>
                <w:b/>
                <w:u w:val="single"/>
              </w:rPr>
              <w:t>BƯỚC 1</w:t>
            </w:r>
            <w:r w:rsidRPr="007A2CBC">
              <w:rPr>
                <w:rFonts w:cs="Times New Roman"/>
                <w:b/>
              </w:rPr>
              <w:t xml:space="preserve">: </w:t>
            </w:r>
            <w:r>
              <w:rPr>
                <w:rFonts w:cs="Times New Roman"/>
                <w:b/>
              </w:rPr>
              <w:t>LẬP</w:t>
            </w:r>
            <w:r w:rsidRPr="007A2CBC">
              <w:rPr>
                <w:rFonts w:cs="Times New Roman"/>
                <w:b/>
              </w:rPr>
              <w:t xml:space="preserve"> DỰ ÁN</w:t>
            </w:r>
          </w:p>
          <w:p w:rsidR="00464B66" w:rsidRPr="00BB1F45" w:rsidRDefault="00464B66" w:rsidP="00D2199A">
            <w:pPr>
              <w:jc w:val="center"/>
              <w:rPr>
                <w:rFonts w:cs="Times New Roman"/>
                <w:b/>
              </w:rPr>
            </w:pPr>
          </w:p>
        </w:tc>
        <w:tc>
          <w:tcPr>
            <w:tcW w:w="5760" w:type="dxa"/>
          </w:tcPr>
          <w:p w:rsidR="00464B66" w:rsidRPr="00BB1F45" w:rsidRDefault="00464B66" w:rsidP="00D2199A">
            <w:pPr>
              <w:ind w:firstLine="352"/>
              <w:rPr>
                <w:rFonts w:cs="Times New Roman"/>
              </w:rPr>
            </w:pPr>
            <w:r>
              <w:rPr>
                <w:rFonts w:cs="Times New Roman"/>
              </w:rPr>
              <w:t>Lập dự án đầu tư và tiến hành các thủ tục đầu tư theo quy định</w:t>
            </w:r>
          </w:p>
        </w:tc>
        <w:tc>
          <w:tcPr>
            <w:tcW w:w="4770" w:type="dxa"/>
            <w:vAlign w:val="center"/>
          </w:tcPr>
          <w:p w:rsidR="00464B66" w:rsidRPr="00BB1F45" w:rsidRDefault="00464B66" w:rsidP="0098098E">
            <w:pPr>
              <w:jc w:val="left"/>
              <w:rPr>
                <w:rFonts w:cs="Times New Roman"/>
              </w:rPr>
            </w:pPr>
            <w:r w:rsidRPr="00BB1F45">
              <w:rPr>
                <w:rFonts w:cs="Times New Roman"/>
              </w:rPr>
              <w:t>Chủ đầu tư</w:t>
            </w:r>
          </w:p>
        </w:tc>
      </w:tr>
      <w:tr w:rsidR="00C34CF1" w:rsidRPr="00BB1F45" w:rsidTr="009D70D2">
        <w:trPr>
          <w:trHeight w:val="567"/>
        </w:trPr>
        <w:tc>
          <w:tcPr>
            <w:tcW w:w="3198" w:type="dxa"/>
            <w:vMerge w:val="restart"/>
          </w:tcPr>
          <w:p w:rsidR="000A4AAF" w:rsidRPr="00BB1F45" w:rsidRDefault="000A4AAF" w:rsidP="00D2199A">
            <w:pPr>
              <w:rPr>
                <w:rFonts w:cs="Times New Roman"/>
              </w:rPr>
            </w:pPr>
            <w:r w:rsidRPr="004F2968">
              <w:rPr>
                <w:rFonts w:cs="Times New Roman"/>
                <w:b/>
                <w:u w:val="single"/>
              </w:rPr>
              <w:t>BƯỚC 2:</w:t>
            </w:r>
            <w:r w:rsidRPr="007A2CBC">
              <w:rPr>
                <w:rFonts w:cs="Times New Roman"/>
                <w:b/>
              </w:rPr>
              <w:t xml:space="preserve"> NỘP HỒ SƠ ĐỀ NGHỊ VAY VỐN</w:t>
            </w:r>
          </w:p>
        </w:tc>
        <w:tc>
          <w:tcPr>
            <w:tcW w:w="5760" w:type="dxa"/>
          </w:tcPr>
          <w:p w:rsidR="000A4AAF" w:rsidRPr="00BB1F45" w:rsidRDefault="000A4AAF" w:rsidP="00D2199A">
            <w:pPr>
              <w:ind w:firstLine="352"/>
              <w:rPr>
                <w:rFonts w:cs="Times New Roman"/>
              </w:rPr>
            </w:pPr>
            <w:r>
              <w:rPr>
                <w:rFonts w:cs="Times New Roman"/>
              </w:rPr>
              <w:t>1. Lập hồ sơ vay vốn gửi tổ chức tín dụng</w:t>
            </w:r>
          </w:p>
        </w:tc>
        <w:tc>
          <w:tcPr>
            <w:tcW w:w="4770" w:type="dxa"/>
            <w:vAlign w:val="center"/>
          </w:tcPr>
          <w:p w:rsidR="000A4AAF" w:rsidRPr="00BB1F45" w:rsidRDefault="000A4AAF" w:rsidP="0098098E">
            <w:pPr>
              <w:jc w:val="left"/>
              <w:rPr>
                <w:rFonts w:cs="Times New Roman"/>
              </w:rPr>
            </w:pPr>
            <w:r w:rsidRPr="00BB1F45">
              <w:rPr>
                <w:rFonts w:cs="Times New Roman"/>
              </w:rPr>
              <w:t>Chủ đầu tư</w:t>
            </w:r>
          </w:p>
        </w:tc>
      </w:tr>
      <w:tr w:rsidR="00C34CF1" w:rsidRPr="00BB1F45" w:rsidTr="009D70D2">
        <w:trPr>
          <w:trHeight w:val="567"/>
        </w:trPr>
        <w:tc>
          <w:tcPr>
            <w:tcW w:w="3198" w:type="dxa"/>
            <w:vMerge/>
          </w:tcPr>
          <w:p w:rsidR="000A4AAF" w:rsidRPr="00BB1F45" w:rsidRDefault="000A4AAF" w:rsidP="00D2199A">
            <w:pPr>
              <w:rPr>
                <w:rFonts w:cs="Times New Roman"/>
              </w:rPr>
            </w:pPr>
          </w:p>
        </w:tc>
        <w:tc>
          <w:tcPr>
            <w:tcW w:w="5760" w:type="dxa"/>
          </w:tcPr>
          <w:p w:rsidR="000A4AAF" w:rsidRPr="00BB1F45" w:rsidRDefault="000A4AAF" w:rsidP="00D2199A">
            <w:pPr>
              <w:ind w:firstLine="352"/>
              <w:rPr>
                <w:rFonts w:cs="Times New Roman"/>
              </w:rPr>
            </w:pPr>
            <w:r>
              <w:rPr>
                <w:rFonts w:cs="Times New Roman"/>
              </w:rPr>
              <w:t>2. Thẩm định và quyết định cho vay</w:t>
            </w:r>
          </w:p>
        </w:tc>
        <w:tc>
          <w:tcPr>
            <w:tcW w:w="4770" w:type="dxa"/>
            <w:vAlign w:val="center"/>
          </w:tcPr>
          <w:p w:rsidR="000A4AAF" w:rsidRPr="00BB1F45" w:rsidRDefault="000A4AAF" w:rsidP="0098098E">
            <w:pPr>
              <w:jc w:val="left"/>
              <w:rPr>
                <w:rFonts w:cs="Times New Roman"/>
              </w:rPr>
            </w:pPr>
            <w:r>
              <w:rPr>
                <w:rFonts w:cs="Times New Roman"/>
              </w:rPr>
              <w:t>Tổ chức cho vay</w:t>
            </w:r>
          </w:p>
        </w:tc>
      </w:tr>
      <w:tr w:rsidR="00C34CF1" w:rsidRPr="00BB1F45" w:rsidTr="009D70D2">
        <w:trPr>
          <w:trHeight w:val="567"/>
        </w:trPr>
        <w:tc>
          <w:tcPr>
            <w:tcW w:w="3198" w:type="dxa"/>
            <w:vMerge w:val="restart"/>
          </w:tcPr>
          <w:p w:rsidR="000A4AAF" w:rsidRDefault="000A4AAF" w:rsidP="000A4AAF">
            <w:pPr>
              <w:rPr>
                <w:rFonts w:cs="Times New Roman"/>
                <w:b/>
              </w:rPr>
            </w:pPr>
            <w:r w:rsidRPr="004F2968">
              <w:rPr>
                <w:rFonts w:cs="Times New Roman"/>
                <w:b/>
                <w:u w:val="single"/>
              </w:rPr>
              <w:t>BƯỚC 3</w:t>
            </w:r>
            <w:r w:rsidRPr="007A2CBC">
              <w:rPr>
                <w:rFonts w:cs="Times New Roman"/>
                <w:b/>
              </w:rPr>
              <w:t>: ĐĂNG KÝ THAM GIA CHƯƠNG TRÌNH KÍCH CẦU</w:t>
            </w:r>
          </w:p>
          <w:p w:rsidR="000A4AAF" w:rsidRPr="007A2CBC" w:rsidRDefault="00E0425B" w:rsidP="000A4AAF">
            <w:pPr>
              <w:rPr>
                <w:rFonts w:cs="Times New Roman"/>
                <w:i/>
              </w:rPr>
            </w:pPr>
            <w:r>
              <w:rPr>
                <w:rFonts w:cs="Times New Roman"/>
                <w:i/>
              </w:rPr>
              <w:t>(T</w:t>
            </w:r>
            <w:r w:rsidR="000A4AAF">
              <w:rPr>
                <w:rFonts w:cs="Times New Roman"/>
                <w:i/>
              </w:rPr>
              <w:t>ổng thời gian thực hiện thủ tục đăng ký tham gia chương trình kích cầu đầu tư là 15 ngày làm việc).</w:t>
            </w:r>
          </w:p>
        </w:tc>
        <w:tc>
          <w:tcPr>
            <w:tcW w:w="5760" w:type="dxa"/>
          </w:tcPr>
          <w:p w:rsidR="000A4AAF" w:rsidRDefault="000A4AAF" w:rsidP="00D2199A">
            <w:pPr>
              <w:ind w:firstLine="352"/>
              <w:rPr>
                <w:rFonts w:cs="Times New Roman"/>
              </w:rPr>
            </w:pPr>
            <w:r>
              <w:rPr>
                <w:rFonts w:cs="Times New Roman"/>
              </w:rPr>
              <w:t>1. Lập hồ sơ đăng ký tham gia chương trình kích cầu, gồm:</w:t>
            </w:r>
          </w:p>
          <w:p w:rsidR="000A4AAF" w:rsidRDefault="000A4AAF" w:rsidP="00D2199A">
            <w:pPr>
              <w:ind w:firstLine="352"/>
              <w:rPr>
                <w:rFonts w:cs="Times New Roman"/>
              </w:rPr>
            </w:pPr>
            <w:r>
              <w:rPr>
                <w:rFonts w:cs="Times New Roman"/>
              </w:rPr>
              <w:t>- Dự án đầu tư;</w:t>
            </w:r>
          </w:p>
          <w:p w:rsidR="000A4AAF" w:rsidRDefault="000A4AAF" w:rsidP="00D2199A">
            <w:pPr>
              <w:ind w:firstLine="352"/>
              <w:rPr>
                <w:rFonts w:cs="Times New Roman"/>
              </w:rPr>
            </w:pPr>
            <w:r>
              <w:rPr>
                <w:rFonts w:cs="Times New Roman"/>
              </w:rPr>
              <w:t>- Thông báo đồng ý cho vay của tổ chức tín dụng;</w:t>
            </w:r>
          </w:p>
          <w:p w:rsidR="000A4AAF" w:rsidRDefault="000A4AAF" w:rsidP="00D2199A">
            <w:pPr>
              <w:ind w:firstLine="352"/>
              <w:rPr>
                <w:rFonts w:cs="Times New Roman"/>
              </w:rPr>
            </w:pPr>
            <w:r>
              <w:rPr>
                <w:rFonts w:cs="Times New Roman"/>
              </w:rPr>
              <w:t>- Công văn đề nghị tham gia chương trình kích cầu theo mẫu (phụ lục IV, Quyết định số 50/2015/QĐ-UBND)</w:t>
            </w:r>
          </w:p>
          <w:p w:rsidR="000A4AAF" w:rsidRPr="00BB1F45" w:rsidRDefault="000A4AAF" w:rsidP="00D2199A">
            <w:pPr>
              <w:ind w:firstLine="352"/>
              <w:rPr>
                <w:rFonts w:cs="Times New Roman"/>
              </w:rPr>
            </w:pPr>
            <w:r>
              <w:rPr>
                <w:rFonts w:cs="Times New Roman"/>
              </w:rPr>
              <w:t>Số lượng hồ sơ: 1 bản chính và 4 bản sao</w:t>
            </w:r>
          </w:p>
        </w:tc>
        <w:tc>
          <w:tcPr>
            <w:tcW w:w="4770" w:type="dxa"/>
            <w:vAlign w:val="center"/>
          </w:tcPr>
          <w:p w:rsidR="000A4AAF" w:rsidRPr="00BB1F45" w:rsidRDefault="000A4AAF" w:rsidP="0098098E">
            <w:pPr>
              <w:jc w:val="left"/>
              <w:rPr>
                <w:rFonts w:cs="Times New Roman"/>
              </w:rPr>
            </w:pPr>
            <w:r w:rsidRPr="00BB1F45">
              <w:rPr>
                <w:rFonts w:cs="Times New Roman"/>
              </w:rPr>
              <w:t>Chủ đầu tư</w:t>
            </w:r>
          </w:p>
        </w:tc>
      </w:tr>
      <w:tr w:rsidR="00C34CF1" w:rsidRPr="00BB1F45" w:rsidTr="009D70D2">
        <w:trPr>
          <w:trHeight w:val="567"/>
        </w:trPr>
        <w:tc>
          <w:tcPr>
            <w:tcW w:w="3198" w:type="dxa"/>
            <w:vMerge/>
          </w:tcPr>
          <w:p w:rsidR="000A4AAF" w:rsidRPr="00BB1F45" w:rsidRDefault="000A4AAF" w:rsidP="00D2199A">
            <w:pPr>
              <w:rPr>
                <w:rFonts w:cs="Times New Roman"/>
              </w:rPr>
            </w:pPr>
          </w:p>
        </w:tc>
        <w:tc>
          <w:tcPr>
            <w:tcW w:w="5760" w:type="dxa"/>
          </w:tcPr>
          <w:p w:rsidR="000A4AAF" w:rsidRPr="00BB1F45" w:rsidRDefault="000A4AAF" w:rsidP="00D2199A">
            <w:pPr>
              <w:ind w:firstLine="352"/>
              <w:rPr>
                <w:rFonts w:cs="Times New Roman"/>
              </w:rPr>
            </w:pPr>
            <w:r>
              <w:rPr>
                <w:rFonts w:cs="Times New Roman"/>
              </w:rPr>
              <w:t>2. Tiếp nhận hồ sơ đăng ký tham gia chương trình kích cầu của doanh nghiệp.</w:t>
            </w:r>
          </w:p>
        </w:tc>
        <w:tc>
          <w:tcPr>
            <w:tcW w:w="4770" w:type="dxa"/>
          </w:tcPr>
          <w:p w:rsidR="000A4AAF" w:rsidRPr="00BB1F45" w:rsidRDefault="000A4AAF" w:rsidP="0098098E">
            <w:pPr>
              <w:rPr>
                <w:rFonts w:cs="Times New Roman"/>
              </w:rPr>
            </w:pPr>
            <w:r w:rsidRPr="006F118B">
              <w:rPr>
                <w:rFonts w:cs="Times New Roman"/>
                <w:b/>
                <w:bCs/>
              </w:rPr>
              <w:t>- Sở kế hoạch và Đầu tư</w:t>
            </w:r>
            <w:r w:rsidRPr="006F118B">
              <w:rPr>
                <w:rFonts w:cs="Times New Roman"/>
              </w:rPr>
              <w:t>: tiếp nhận hồ sơ, tham mưu trình Uỷ ban nhân dân Thành phố phê duyệt và trả kết quả giải quyết cho Chủ đầu tư.</w:t>
            </w:r>
          </w:p>
        </w:tc>
      </w:tr>
      <w:tr w:rsidR="00C34CF1" w:rsidRPr="00BB1F45" w:rsidTr="009D70D2">
        <w:trPr>
          <w:trHeight w:val="567"/>
        </w:trPr>
        <w:tc>
          <w:tcPr>
            <w:tcW w:w="3198" w:type="dxa"/>
            <w:vMerge/>
          </w:tcPr>
          <w:p w:rsidR="000A4AAF" w:rsidRPr="00BB1F45" w:rsidRDefault="000A4AAF" w:rsidP="00D2199A">
            <w:pPr>
              <w:rPr>
                <w:rFonts w:cs="Times New Roman"/>
              </w:rPr>
            </w:pPr>
          </w:p>
        </w:tc>
        <w:tc>
          <w:tcPr>
            <w:tcW w:w="5760" w:type="dxa"/>
          </w:tcPr>
          <w:p w:rsidR="000A4AAF" w:rsidRPr="00BB1F45" w:rsidRDefault="000A4AAF" w:rsidP="00D2199A">
            <w:pPr>
              <w:rPr>
                <w:rFonts w:cs="Times New Roman"/>
              </w:rPr>
            </w:pPr>
            <w:r>
              <w:rPr>
                <w:rFonts w:cs="Times New Roman"/>
              </w:rPr>
              <w:t xml:space="preserve">3. Tổ chức kiểm tra thực địa địa điểm đầu tư của dự án (lập biên bản làm việc) </w:t>
            </w:r>
          </w:p>
        </w:tc>
        <w:tc>
          <w:tcPr>
            <w:tcW w:w="4770" w:type="dxa"/>
          </w:tcPr>
          <w:p w:rsidR="000A4AAF" w:rsidRPr="00BB1F45" w:rsidRDefault="000A4AAF" w:rsidP="0098098E">
            <w:pPr>
              <w:rPr>
                <w:rFonts w:cs="Times New Roman"/>
              </w:rPr>
            </w:pPr>
            <w:r>
              <w:rPr>
                <w:rFonts w:cs="Times New Roman"/>
              </w:rPr>
              <w:t>Do Sở KH&amp;ĐT chủ trì, triệu tập các thành viên Tổ công tác liên ngành thuộc các cơ quan chuyên ngành (trong vòng 03 ngày làm việc kể từ ngày nhận đủ hồ sơ hợp lệ)</w:t>
            </w:r>
          </w:p>
        </w:tc>
      </w:tr>
      <w:tr w:rsidR="00C34CF1" w:rsidRPr="00BB1F45" w:rsidTr="009D70D2">
        <w:trPr>
          <w:trHeight w:val="567"/>
        </w:trPr>
        <w:tc>
          <w:tcPr>
            <w:tcW w:w="3198" w:type="dxa"/>
            <w:vMerge/>
          </w:tcPr>
          <w:p w:rsidR="000A4AAF" w:rsidRPr="00BB1F45" w:rsidRDefault="000A4AAF" w:rsidP="00D2199A">
            <w:pPr>
              <w:rPr>
                <w:rFonts w:cs="Times New Roman"/>
              </w:rPr>
            </w:pPr>
          </w:p>
        </w:tc>
        <w:tc>
          <w:tcPr>
            <w:tcW w:w="5760" w:type="dxa"/>
          </w:tcPr>
          <w:p w:rsidR="000A4AAF" w:rsidRPr="00BB1F45" w:rsidRDefault="000A4AAF" w:rsidP="00D2199A">
            <w:pPr>
              <w:rPr>
                <w:rFonts w:cs="Times New Roman"/>
              </w:rPr>
            </w:pPr>
            <w:r>
              <w:rPr>
                <w:rFonts w:cs="Times New Roman"/>
              </w:rPr>
              <w:t>4. Họp tổ công tác liên ngành đánh giá về tính khả thi của dự án. (lập biên bản cuộc họp)</w:t>
            </w:r>
          </w:p>
        </w:tc>
        <w:tc>
          <w:tcPr>
            <w:tcW w:w="4770" w:type="dxa"/>
          </w:tcPr>
          <w:p w:rsidR="000A4AAF" w:rsidRPr="00BB1F45" w:rsidRDefault="000A4AAF" w:rsidP="0098098E">
            <w:pPr>
              <w:rPr>
                <w:rFonts w:cs="Times New Roman"/>
              </w:rPr>
            </w:pPr>
            <w:r>
              <w:rPr>
                <w:rFonts w:cs="Times New Roman"/>
              </w:rPr>
              <w:t>Tổ liên ngành – chủ trì Cơ quan đầu mối tiếp nhận hồ sơ và Chủ đầu tư mời tham dự cuộc họp (thời gian: trong vòng 05 ngày làm việc kể từ ngày kiểm tra thực địa).</w:t>
            </w:r>
          </w:p>
        </w:tc>
      </w:tr>
      <w:tr w:rsidR="00C34CF1" w:rsidRPr="00BB1F45" w:rsidTr="009D70D2">
        <w:trPr>
          <w:trHeight w:val="567"/>
        </w:trPr>
        <w:tc>
          <w:tcPr>
            <w:tcW w:w="3198" w:type="dxa"/>
            <w:vMerge/>
          </w:tcPr>
          <w:p w:rsidR="000A4AAF" w:rsidRPr="00BB1F45" w:rsidRDefault="000A4AAF" w:rsidP="00D2199A">
            <w:pPr>
              <w:rPr>
                <w:rFonts w:cs="Times New Roman"/>
              </w:rPr>
            </w:pPr>
          </w:p>
        </w:tc>
        <w:tc>
          <w:tcPr>
            <w:tcW w:w="5760" w:type="dxa"/>
          </w:tcPr>
          <w:p w:rsidR="000A4AAF" w:rsidRPr="00BB1F45" w:rsidRDefault="000A4AAF" w:rsidP="00D2199A">
            <w:pPr>
              <w:rPr>
                <w:rFonts w:cs="Times New Roman"/>
              </w:rPr>
            </w:pPr>
            <w:r>
              <w:rPr>
                <w:rFonts w:cs="Times New Roman"/>
              </w:rPr>
              <w:t>5. Xét duyệt và quyết định về việc tham gia chương trình kích cầu.</w:t>
            </w:r>
          </w:p>
        </w:tc>
        <w:tc>
          <w:tcPr>
            <w:tcW w:w="4770" w:type="dxa"/>
          </w:tcPr>
          <w:p w:rsidR="000A4AAF" w:rsidRPr="00BB1F45" w:rsidRDefault="000A4AAF" w:rsidP="0098098E">
            <w:pPr>
              <w:rPr>
                <w:rFonts w:cs="Times New Roman"/>
              </w:rPr>
            </w:pPr>
          </w:p>
        </w:tc>
      </w:tr>
      <w:tr w:rsidR="00C34CF1" w:rsidRPr="00BB1F45" w:rsidTr="009D70D2">
        <w:trPr>
          <w:trHeight w:val="567"/>
        </w:trPr>
        <w:tc>
          <w:tcPr>
            <w:tcW w:w="3198" w:type="dxa"/>
            <w:vMerge/>
          </w:tcPr>
          <w:p w:rsidR="000A4AAF" w:rsidRPr="00BB1F45" w:rsidRDefault="000A4AAF" w:rsidP="00D2199A">
            <w:pPr>
              <w:rPr>
                <w:rFonts w:cs="Times New Roman"/>
              </w:rPr>
            </w:pPr>
          </w:p>
        </w:tc>
        <w:tc>
          <w:tcPr>
            <w:tcW w:w="5760" w:type="dxa"/>
          </w:tcPr>
          <w:p w:rsidR="000A4AAF" w:rsidRDefault="001C48F6" w:rsidP="00D2199A">
            <w:pPr>
              <w:rPr>
                <w:rFonts w:cs="Times New Roman"/>
              </w:rPr>
            </w:pPr>
            <w:r>
              <w:rPr>
                <w:rFonts w:cs="Times New Roman"/>
              </w:rPr>
              <w:t xml:space="preserve">   </w:t>
            </w:r>
            <w:r w:rsidR="000A4AAF">
              <w:rPr>
                <w:rFonts w:cs="Times New Roman"/>
              </w:rPr>
              <w:t xml:space="preserve">5.1. Trường hợp dự án đủ điều kiện: </w:t>
            </w:r>
          </w:p>
          <w:p w:rsidR="000A4AAF" w:rsidRDefault="001C48F6" w:rsidP="00D2199A">
            <w:pPr>
              <w:rPr>
                <w:rFonts w:cs="Times New Roman"/>
              </w:rPr>
            </w:pPr>
            <w:r>
              <w:rPr>
                <w:rFonts w:cs="Times New Roman"/>
              </w:rPr>
              <w:t xml:space="preserve">   </w:t>
            </w:r>
            <w:r w:rsidR="000A4AAF">
              <w:rPr>
                <w:rFonts w:cs="Times New Roman"/>
              </w:rPr>
              <w:t>a. Tổng hợp trình UBND Thành phố xem xét quyết định.</w:t>
            </w:r>
          </w:p>
          <w:p w:rsidR="000A4AAF" w:rsidRPr="00BB1F45" w:rsidRDefault="000A4AAF" w:rsidP="00D2199A">
            <w:pPr>
              <w:rPr>
                <w:rFonts w:cs="Times New Roman"/>
              </w:rPr>
            </w:pPr>
          </w:p>
        </w:tc>
        <w:tc>
          <w:tcPr>
            <w:tcW w:w="4770" w:type="dxa"/>
          </w:tcPr>
          <w:p w:rsidR="000A4AAF" w:rsidRPr="00BB1F45" w:rsidRDefault="000A4AAF" w:rsidP="0098098E">
            <w:pPr>
              <w:rPr>
                <w:rFonts w:cs="Times New Roman"/>
              </w:rPr>
            </w:pPr>
            <w:r>
              <w:rPr>
                <w:rFonts w:cs="Times New Roman"/>
              </w:rPr>
              <w:t>Cơ quan tiếp nhận hồ sơ (trong vòng 3 ngày làm việc kể từ ngày tổ chức họp)</w:t>
            </w:r>
          </w:p>
        </w:tc>
      </w:tr>
      <w:tr w:rsidR="00C34CF1" w:rsidRPr="00BB1F45" w:rsidTr="009D70D2">
        <w:trPr>
          <w:trHeight w:val="567"/>
        </w:trPr>
        <w:tc>
          <w:tcPr>
            <w:tcW w:w="3198" w:type="dxa"/>
            <w:vMerge/>
          </w:tcPr>
          <w:p w:rsidR="000A4AAF" w:rsidRPr="00BB1F45" w:rsidRDefault="000A4AAF" w:rsidP="00D2199A">
            <w:pPr>
              <w:rPr>
                <w:rFonts w:cs="Times New Roman"/>
              </w:rPr>
            </w:pPr>
          </w:p>
        </w:tc>
        <w:tc>
          <w:tcPr>
            <w:tcW w:w="5760" w:type="dxa"/>
          </w:tcPr>
          <w:p w:rsidR="000A4AAF" w:rsidRPr="00BB1F45" w:rsidRDefault="001C48F6" w:rsidP="00D2199A">
            <w:pPr>
              <w:rPr>
                <w:rFonts w:cs="Times New Roman"/>
              </w:rPr>
            </w:pPr>
            <w:r>
              <w:rPr>
                <w:rFonts w:cs="Times New Roman"/>
              </w:rPr>
              <w:t xml:space="preserve">   </w:t>
            </w:r>
            <w:r w:rsidR="000A4AAF">
              <w:rPr>
                <w:rFonts w:cs="Times New Roman"/>
              </w:rPr>
              <w:t>b. Quyết định chấp thuận cho dự án tham gia chương trình kích cầu</w:t>
            </w:r>
          </w:p>
        </w:tc>
        <w:tc>
          <w:tcPr>
            <w:tcW w:w="4770" w:type="dxa"/>
          </w:tcPr>
          <w:p w:rsidR="000A4AAF" w:rsidRPr="00BB1F45" w:rsidRDefault="000A4AAF" w:rsidP="0098098E">
            <w:pPr>
              <w:rPr>
                <w:rFonts w:cs="Times New Roman"/>
              </w:rPr>
            </w:pPr>
            <w:r>
              <w:rPr>
                <w:rFonts w:cs="Times New Roman"/>
              </w:rPr>
              <w:t>Uỷ ban nhân dân thành phố (trong vòng 3 ngày làm việc kể từ ngày nhận đủ hồ sơ do Cơ quan tiếp nhận trình)</w:t>
            </w:r>
          </w:p>
        </w:tc>
      </w:tr>
      <w:tr w:rsidR="00C34CF1" w:rsidRPr="00BB1F45" w:rsidTr="009D70D2">
        <w:trPr>
          <w:trHeight w:val="567"/>
        </w:trPr>
        <w:tc>
          <w:tcPr>
            <w:tcW w:w="3198" w:type="dxa"/>
            <w:vMerge/>
          </w:tcPr>
          <w:p w:rsidR="000A4AAF" w:rsidRPr="00BB1F45" w:rsidRDefault="000A4AAF" w:rsidP="00D2199A">
            <w:pPr>
              <w:rPr>
                <w:rFonts w:cs="Times New Roman"/>
              </w:rPr>
            </w:pPr>
          </w:p>
        </w:tc>
        <w:tc>
          <w:tcPr>
            <w:tcW w:w="5760" w:type="dxa"/>
          </w:tcPr>
          <w:p w:rsidR="000A4AAF" w:rsidRPr="00BB1F45" w:rsidRDefault="001C48F6" w:rsidP="00D2199A">
            <w:pPr>
              <w:rPr>
                <w:rFonts w:cs="Times New Roman"/>
              </w:rPr>
            </w:pPr>
            <w:r>
              <w:rPr>
                <w:rFonts w:cs="Times New Roman"/>
              </w:rPr>
              <w:t xml:space="preserve">   </w:t>
            </w:r>
            <w:r w:rsidR="000A4AAF">
              <w:rPr>
                <w:rFonts w:cs="Times New Roman"/>
              </w:rPr>
              <w:t>5.2. Trường hợp dự án chưa đủ điều kiện:</w:t>
            </w:r>
          </w:p>
        </w:tc>
        <w:tc>
          <w:tcPr>
            <w:tcW w:w="4770" w:type="dxa"/>
          </w:tcPr>
          <w:p w:rsidR="000A4AAF" w:rsidRPr="00BB1F45" w:rsidRDefault="000A4AAF" w:rsidP="0098098E">
            <w:pPr>
              <w:rPr>
                <w:rFonts w:cs="Times New Roman"/>
              </w:rPr>
            </w:pPr>
          </w:p>
        </w:tc>
      </w:tr>
      <w:tr w:rsidR="00C34CF1" w:rsidRPr="00BB1F45" w:rsidTr="009D70D2">
        <w:trPr>
          <w:trHeight w:val="567"/>
        </w:trPr>
        <w:tc>
          <w:tcPr>
            <w:tcW w:w="3198" w:type="dxa"/>
            <w:vMerge/>
          </w:tcPr>
          <w:p w:rsidR="000A4AAF" w:rsidRPr="00BB1F45" w:rsidRDefault="000A4AAF" w:rsidP="00D2199A">
            <w:pPr>
              <w:rPr>
                <w:rFonts w:cs="Times New Roman"/>
              </w:rPr>
            </w:pPr>
          </w:p>
        </w:tc>
        <w:tc>
          <w:tcPr>
            <w:tcW w:w="5760" w:type="dxa"/>
          </w:tcPr>
          <w:p w:rsidR="000A4AAF" w:rsidRPr="00BB1F45" w:rsidRDefault="001C48F6" w:rsidP="00D2199A">
            <w:pPr>
              <w:rPr>
                <w:rFonts w:cs="Times New Roman"/>
              </w:rPr>
            </w:pPr>
            <w:r>
              <w:rPr>
                <w:rFonts w:cs="Times New Roman"/>
              </w:rPr>
              <w:t xml:space="preserve">   </w:t>
            </w:r>
            <w:r w:rsidR="000A4AAF">
              <w:rPr>
                <w:rFonts w:cs="Times New Roman"/>
              </w:rPr>
              <w:t>a. Bổ sung, hoàn chỉnh hồ sơ theo yêu cầu</w:t>
            </w:r>
          </w:p>
        </w:tc>
        <w:tc>
          <w:tcPr>
            <w:tcW w:w="4770" w:type="dxa"/>
          </w:tcPr>
          <w:p w:rsidR="000A4AAF" w:rsidRPr="00BB1F45" w:rsidRDefault="000A4AAF" w:rsidP="0098098E">
            <w:pPr>
              <w:rPr>
                <w:rFonts w:cs="Times New Roman"/>
              </w:rPr>
            </w:pPr>
            <w:r>
              <w:rPr>
                <w:rFonts w:cs="Times New Roman"/>
              </w:rPr>
              <w:t xml:space="preserve">Chủ đầu tư (trong vòng 30 ngày làm việc, nếu quá thời gian này Chủ đầu tư chưa nộp đủ hồ sơ mà không có lý do chính đáng, Cơ </w:t>
            </w:r>
            <w:r>
              <w:rPr>
                <w:rFonts w:cs="Times New Roman"/>
              </w:rPr>
              <w:lastRenderedPageBreak/>
              <w:t>quan tiếp nhận sẽ trả lại hồ sơ cho Chủ đầu tư. Nếu có nhu cầu chủ đầu tư phải thực hiện lại hồ sơ theo quy trình).</w:t>
            </w:r>
          </w:p>
        </w:tc>
      </w:tr>
      <w:tr w:rsidR="00C34CF1" w:rsidRPr="00BB1F45" w:rsidTr="009D70D2">
        <w:trPr>
          <w:trHeight w:val="567"/>
        </w:trPr>
        <w:tc>
          <w:tcPr>
            <w:tcW w:w="3198" w:type="dxa"/>
            <w:vMerge/>
          </w:tcPr>
          <w:p w:rsidR="000A4AAF" w:rsidRPr="00BB1F45" w:rsidRDefault="000A4AAF" w:rsidP="00D2199A">
            <w:pPr>
              <w:rPr>
                <w:rFonts w:cs="Times New Roman"/>
              </w:rPr>
            </w:pPr>
          </w:p>
        </w:tc>
        <w:tc>
          <w:tcPr>
            <w:tcW w:w="5760" w:type="dxa"/>
          </w:tcPr>
          <w:p w:rsidR="000A4AAF" w:rsidRDefault="001C48F6" w:rsidP="00D2199A">
            <w:pPr>
              <w:rPr>
                <w:rFonts w:cs="Times New Roman"/>
              </w:rPr>
            </w:pPr>
            <w:r>
              <w:rPr>
                <w:rFonts w:cs="Times New Roman"/>
              </w:rPr>
              <w:t xml:space="preserve">   </w:t>
            </w:r>
            <w:r w:rsidR="000A4AAF">
              <w:rPr>
                <w:rFonts w:cs="Times New Roman"/>
              </w:rPr>
              <w:t>b. Tiếp nhận lại hồ sơ hoàn chỉnh và trình UBND thành phố</w:t>
            </w:r>
          </w:p>
        </w:tc>
        <w:tc>
          <w:tcPr>
            <w:tcW w:w="4770" w:type="dxa"/>
          </w:tcPr>
          <w:p w:rsidR="000A4AAF" w:rsidRPr="00BB1F45" w:rsidRDefault="000A4AAF" w:rsidP="0098098E">
            <w:pPr>
              <w:rPr>
                <w:rFonts w:cs="Times New Roman"/>
              </w:rPr>
            </w:pPr>
            <w:r>
              <w:rPr>
                <w:rFonts w:cs="Times New Roman"/>
              </w:rPr>
              <w:t>Cơ quan tiếp nhận hồ sơ (trong vòng 3 ngày làm việc kể từ ngày nhận được hồ sơ bổ sung hoàn chỉnh)</w:t>
            </w:r>
          </w:p>
        </w:tc>
      </w:tr>
      <w:tr w:rsidR="00C34CF1" w:rsidRPr="00BB1F45" w:rsidTr="009D70D2">
        <w:trPr>
          <w:trHeight w:val="567"/>
        </w:trPr>
        <w:tc>
          <w:tcPr>
            <w:tcW w:w="3198" w:type="dxa"/>
            <w:vMerge/>
          </w:tcPr>
          <w:p w:rsidR="000A4AAF" w:rsidRPr="00BB1F45" w:rsidRDefault="000A4AAF" w:rsidP="00D2199A">
            <w:pPr>
              <w:rPr>
                <w:rFonts w:cs="Times New Roman"/>
              </w:rPr>
            </w:pPr>
          </w:p>
        </w:tc>
        <w:tc>
          <w:tcPr>
            <w:tcW w:w="5760" w:type="dxa"/>
          </w:tcPr>
          <w:p w:rsidR="000A4AAF" w:rsidRPr="00BB1F45" w:rsidRDefault="001C48F6" w:rsidP="00D2199A">
            <w:pPr>
              <w:rPr>
                <w:rFonts w:cs="Times New Roman"/>
              </w:rPr>
            </w:pPr>
            <w:r>
              <w:rPr>
                <w:rFonts w:cs="Times New Roman"/>
              </w:rPr>
              <w:t xml:space="preserve">   </w:t>
            </w:r>
            <w:r w:rsidR="000A4AAF">
              <w:rPr>
                <w:rFonts w:cs="Times New Roman"/>
              </w:rPr>
              <w:t>c. Quyết định chấp thuận cho dự án tham gia chương trình kích cầu</w:t>
            </w:r>
          </w:p>
        </w:tc>
        <w:tc>
          <w:tcPr>
            <w:tcW w:w="4770" w:type="dxa"/>
          </w:tcPr>
          <w:p w:rsidR="000A4AAF" w:rsidRPr="00BB1F45" w:rsidRDefault="000A4AAF" w:rsidP="0098098E">
            <w:pPr>
              <w:rPr>
                <w:rFonts w:cs="Times New Roman"/>
              </w:rPr>
            </w:pPr>
            <w:r>
              <w:rPr>
                <w:rFonts w:cs="Times New Roman"/>
              </w:rPr>
              <w:t>Uỷ ban nhân dân thành phố (trong vòng 3 ngày làm việc kể từ ngày nhận đủ hồ sơ do Cơ quan tiếp nhận trình)</w:t>
            </w:r>
          </w:p>
        </w:tc>
      </w:tr>
      <w:tr w:rsidR="0098098E" w:rsidTr="009D70D2">
        <w:trPr>
          <w:trHeight w:val="567"/>
        </w:trPr>
        <w:tc>
          <w:tcPr>
            <w:tcW w:w="3198" w:type="dxa"/>
            <w:vMerge w:val="restart"/>
          </w:tcPr>
          <w:p w:rsidR="000A4AAF" w:rsidRPr="00BB1F45" w:rsidRDefault="000A4AAF" w:rsidP="00D2199A">
            <w:pPr>
              <w:rPr>
                <w:rFonts w:cs="Times New Roman"/>
              </w:rPr>
            </w:pPr>
            <w:r w:rsidRPr="004F2968">
              <w:rPr>
                <w:rFonts w:cs="Times New Roman"/>
                <w:b/>
                <w:u w:val="single"/>
              </w:rPr>
              <w:t>BƯỚC 4</w:t>
            </w:r>
            <w:r w:rsidRPr="007A2CBC">
              <w:rPr>
                <w:rFonts w:cs="Times New Roman"/>
                <w:b/>
              </w:rPr>
              <w:t>: TRIỂN KHAI THỰC HIỆN</w:t>
            </w:r>
          </w:p>
        </w:tc>
        <w:tc>
          <w:tcPr>
            <w:tcW w:w="5760" w:type="dxa"/>
          </w:tcPr>
          <w:p w:rsidR="000A4AAF" w:rsidRDefault="000A4AAF" w:rsidP="00D2199A">
            <w:pPr>
              <w:rPr>
                <w:rFonts w:cs="Times New Roman"/>
              </w:rPr>
            </w:pPr>
            <w:r>
              <w:rPr>
                <w:rFonts w:cs="Times New Roman"/>
              </w:rPr>
              <w:t>1. Nhận quyết định tham gia chương trình kích cầu</w:t>
            </w:r>
          </w:p>
        </w:tc>
        <w:tc>
          <w:tcPr>
            <w:tcW w:w="4770" w:type="dxa"/>
          </w:tcPr>
          <w:p w:rsidR="000A4AAF" w:rsidRDefault="000A4AAF" w:rsidP="0098098E">
            <w:pPr>
              <w:rPr>
                <w:rFonts w:cs="Times New Roman"/>
              </w:rPr>
            </w:pPr>
            <w:r>
              <w:rPr>
                <w:rFonts w:cs="Times New Roman"/>
              </w:rPr>
              <w:t>Chủ đầu tư (khi có thông báo của cơ quan đầu mối tiếp nhận hồ sơ) liên hệ với cơ quan tiếp nhận hồ sơ ký nhận Quyết định chính thức và cơ quan đầu mối hướng dẫn các thủ tục tiếp theo (mẫu báo cáo, kế hoạch đề nghị cấp bù lãi, bổ sung các hồ sơ liên quan như: Hợp đồng tín dụng, kế hoạch giải ngân, kế hoạch trả nợ…)</w:t>
            </w:r>
          </w:p>
          <w:p w:rsidR="000A4AAF" w:rsidRDefault="000A4AAF" w:rsidP="0098098E">
            <w:pPr>
              <w:rPr>
                <w:rFonts w:cs="Times New Roman"/>
              </w:rPr>
            </w:pPr>
            <w:r>
              <w:rPr>
                <w:rFonts w:cs="Times New Roman"/>
              </w:rPr>
              <w:t>(Trong vòng 3 ngày làm việc kể từ ngày có Quyết định chính thức của UBND Thành phố)</w:t>
            </w:r>
          </w:p>
        </w:tc>
      </w:tr>
      <w:tr w:rsidR="0098098E" w:rsidTr="009D70D2">
        <w:trPr>
          <w:trHeight w:val="567"/>
        </w:trPr>
        <w:tc>
          <w:tcPr>
            <w:tcW w:w="3198" w:type="dxa"/>
            <w:vMerge/>
          </w:tcPr>
          <w:p w:rsidR="000A4AAF" w:rsidRPr="00BB1F45" w:rsidRDefault="000A4AAF" w:rsidP="00D2199A">
            <w:pPr>
              <w:rPr>
                <w:rFonts w:cs="Times New Roman"/>
              </w:rPr>
            </w:pPr>
          </w:p>
        </w:tc>
        <w:tc>
          <w:tcPr>
            <w:tcW w:w="5760" w:type="dxa"/>
          </w:tcPr>
          <w:p w:rsidR="000A4AAF" w:rsidRDefault="000A4AAF" w:rsidP="00D2199A">
            <w:pPr>
              <w:rPr>
                <w:rFonts w:cs="Times New Roman"/>
              </w:rPr>
            </w:pPr>
            <w:r>
              <w:rPr>
                <w:rFonts w:cs="Times New Roman"/>
              </w:rPr>
              <w:t>2. Ký hợp đồng vay vốn, tiến hành đầu tư xây dựng và giải ngân vốn vay</w:t>
            </w:r>
          </w:p>
        </w:tc>
        <w:tc>
          <w:tcPr>
            <w:tcW w:w="4770" w:type="dxa"/>
          </w:tcPr>
          <w:p w:rsidR="000A4AAF" w:rsidRDefault="000A4AAF" w:rsidP="0098098E">
            <w:pPr>
              <w:rPr>
                <w:rFonts w:cs="Times New Roman"/>
              </w:rPr>
            </w:pPr>
            <w:r>
              <w:rPr>
                <w:rFonts w:cs="Times New Roman"/>
              </w:rPr>
              <w:t>Chủ đầu tư, Tổ chức cho vay</w:t>
            </w:r>
          </w:p>
        </w:tc>
      </w:tr>
      <w:tr w:rsidR="0098098E" w:rsidTr="009D70D2">
        <w:trPr>
          <w:trHeight w:val="567"/>
        </w:trPr>
        <w:tc>
          <w:tcPr>
            <w:tcW w:w="3198" w:type="dxa"/>
            <w:vMerge/>
          </w:tcPr>
          <w:p w:rsidR="000A4AAF" w:rsidRPr="00BB1F45" w:rsidRDefault="000A4AAF" w:rsidP="00D2199A">
            <w:pPr>
              <w:rPr>
                <w:rFonts w:cs="Times New Roman"/>
              </w:rPr>
            </w:pPr>
          </w:p>
        </w:tc>
        <w:tc>
          <w:tcPr>
            <w:tcW w:w="5760" w:type="dxa"/>
          </w:tcPr>
          <w:p w:rsidR="000A4AAF" w:rsidRDefault="000A4AAF" w:rsidP="00D2199A">
            <w:pPr>
              <w:rPr>
                <w:rFonts w:cs="Times New Roman"/>
              </w:rPr>
            </w:pPr>
            <w:r>
              <w:rPr>
                <w:rFonts w:cs="Times New Roman"/>
              </w:rPr>
              <w:t>3. Tiến hành giải ngân thực hiện dự án</w:t>
            </w:r>
          </w:p>
        </w:tc>
        <w:tc>
          <w:tcPr>
            <w:tcW w:w="4770" w:type="dxa"/>
          </w:tcPr>
          <w:p w:rsidR="000A4AAF" w:rsidRDefault="000A4AAF" w:rsidP="0098098E">
            <w:pPr>
              <w:rPr>
                <w:rFonts w:cs="Times New Roman"/>
              </w:rPr>
            </w:pPr>
            <w:r>
              <w:rPr>
                <w:rFonts w:cs="Times New Roman"/>
              </w:rPr>
              <w:t>Chủ đầu tư, Tổ chức cho vay</w:t>
            </w:r>
          </w:p>
        </w:tc>
      </w:tr>
      <w:tr w:rsidR="0098098E" w:rsidTr="009D70D2">
        <w:trPr>
          <w:trHeight w:val="567"/>
        </w:trPr>
        <w:tc>
          <w:tcPr>
            <w:tcW w:w="3198" w:type="dxa"/>
            <w:vMerge/>
          </w:tcPr>
          <w:p w:rsidR="000A4AAF" w:rsidRPr="00BB1F45" w:rsidRDefault="000A4AAF" w:rsidP="00D2199A">
            <w:pPr>
              <w:rPr>
                <w:rFonts w:cs="Times New Roman"/>
              </w:rPr>
            </w:pPr>
          </w:p>
        </w:tc>
        <w:tc>
          <w:tcPr>
            <w:tcW w:w="5760" w:type="dxa"/>
          </w:tcPr>
          <w:p w:rsidR="000A4AAF" w:rsidRDefault="000A4AAF" w:rsidP="00D2199A">
            <w:pPr>
              <w:rPr>
                <w:rFonts w:cs="Times New Roman"/>
              </w:rPr>
            </w:pPr>
            <w:r>
              <w:rPr>
                <w:rFonts w:cs="Times New Roman"/>
              </w:rPr>
              <w:t>4. Quy trình cấp bù lãi:</w:t>
            </w:r>
          </w:p>
          <w:p w:rsidR="000A4AAF" w:rsidRDefault="000A4AAF" w:rsidP="00D2199A">
            <w:pPr>
              <w:rPr>
                <w:rFonts w:cs="Times New Roman"/>
              </w:rPr>
            </w:pPr>
            <w:r>
              <w:rPr>
                <w:rFonts w:cs="Times New Roman"/>
              </w:rPr>
              <w:t xml:space="preserve"> - Tổ chức cho vay thông báo lãi phát sinh; chủ đầu tư trả nợ gốc và lãi phát sinh theo thông báo cho tổ chức tín dụng.</w:t>
            </w:r>
          </w:p>
          <w:p w:rsidR="000A4AAF" w:rsidRDefault="000A4AAF" w:rsidP="00D2199A">
            <w:pPr>
              <w:rPr>
                <w:rFonts w:cs="Times New Roman"/>
              </w:rPr>
            </w:pPr>
            <w:r>
              <w:rPr>
                <w:rFonts w:cs="Times New Roman"/>
              </w:rPr>
              <w:t xml:space="preserve">- Chủ đầu tư định kỳ hàng quý tổng hợp lãi phát sinh theo thông báo lãi của ngân hàng và đề nghị ngân sách hỗ trợ lãi gửi Sở Tài chính và kho bạc để cấp bù lãi. </w:t>
            </w:r>
          </w:p>
          <w:p w:rsidR="000A4AAF" w:rsidRPr="00FD52F8" w:rsidRDefault="000A4AAF" w:rsidP="00D2199A">
            <w:pPr>
              <w:rPr>
                <w:rFonts w:cs="Times New Roman"/>
              </w:rPr>
            </w:pPr>
            <w:r>
              <w:rPr>
                <w:rFonts w:cs="Times New Roman"/>
              </w:rPr>
              <w:t>- Sau khi tính toán phần lãi cấp bù, Kho bạc sẽ chuyển trả trực tiếp tiền lãi cấp bù vào tài khoản của Chủ đầu tư.</w:t>
            </w:r>
          </w:p>
        </w:tc>
        <w:tc>
          <w:tcPr>
            <w:tcW w:w="4770" w:type="dxa"/>
          </w:tcPr>
          <w:p w:rsidR="000A4AAF" w:rsidRDefault="000A4AAF" w:rsidP="0098098E">
            <w:pPr>
              <w:rPr>
                <w:rFonts w:cs="Times New Roman"/>
              </w:rPr>
            </w:pPr>
          </w:p>
          <w:p w:rsidR="000A4AAF" w:rsidRDefault="000A4AAF" w:rsidP="0098098E">
            <w:pPr>
              <w:rPr>
                <w:rFonts w:cs="Times New Roman"/>
              </w:rPr>
            </w:pPr>
            <w:r>
              <w:rPr>
                <w:rFonts w:cs="Times New Roman"/>
              </w:rPr>
              <w:t xml:space="preserve">Chủ đầu tư, Tổ chức cho vay </w:t>
            </w:r>
          </w:p>
          <w:p w:rsidR="000A4AAF" w:rsidRDefault="000A4AAF" w:rsidP="0098098E">
            <w:pPr>
              <w:rPr>
                <w:rFonts w:cs="Times New Roman"/>
              </w:rPr>
            </w:pPr>
          </w:p>
          <w:p w:rsidR="00B0566D" w:rsidRDefault="00B0566D" w:rsidP="0098098E">
            <w:pPr>
              <w:rPr>
                <w:rFonts w:cs="Times New Roman"/>
              </w:rPr>
            </w:pPr>
          </w:p>
          <w:p w:rsidR="000A4AAF" w:rsidRDefault="000A4AAF" w:rsidP="0098098E">
            <w:pPr>
              <w:rPr>
                <w:rFonts w:cs="Times New Roman"/>
              </w:rPr>
            </w:pPr>
            <w:r>
              <w:rPr>
                <w:rFonts w:cs="Times New Roman"/>
              </w:rPr>
              <w:t>Chủ đầu tư</w:t>
            </w:r>
          </w:p>
          <w:p w:rsidR="000A4AAF" w:rsidRDefault="000A4AAF" w:rsidP="0098098E">
            <w:pPr>
              <w:rPr>
                <w:rFonts w:cs="Times New Roman"/>
              </w:rPr>
            </w:pPr>
          </w:p>
          <w:p w:rsidR="000A4AAF" w:rsidRDefault="000A4AAF" w:rsidP="0098098E">
            <w:pPr>
              <w:rPr>
                <w:rFonts w:cs="Times New Roman"/>
              </w:rPr>
            </w:pPr>
          </w:p>
          <w:p w:rsidR="00B0566D" w:rsidRDefault="00B0566D" w:rsidP="0098098E">
            <w:pPr>
              <w:rPr>
                <w:rFonts w:cs="Times New Roman"/>
              </w:rPr>
            </w:pPr>
          </w:p>
          <w:p w:rsidR="000A4AAF" w:rsidRDefault="000A4AAF" w:rsidP="0098098E">
            <w:pPr>
              <w:rPr>
                <w:rFonts w:cs="Times New Roman"/>
              </w:rPr>
            </w:pPr>
            <w:r>
              <w:rPr>
                <w:rFonts w:cs="Times New Roman"/>
              </w:rPr>
              <w:t>Sở Tài chính và Kho bạc Nhà nước.</w:t>
            </w:r>
          </w:p>
        </w:tc>
      </w:tr>
      <w:tr w:rsidR="00C34CF1" w:rsidTr="009D70D2">
        <w:trPr>
          <w:trHeight w:val="567"/>
        </w:trPr>
        <w:tc>
          <w:tcPr>
            <w:tcW w:w="3198" w:type="dxa"/>
          </w:tcPr>
          <w:p w:rsidR="00464B66" w:rsidRPr="007A2CBC" w:rsidRDefault="00464B66" w:rsidP="00D2199A">
            <w:pPr>
              <w:rPr>
                <w:rFonts w:cs="Times New Roman"/>
                <w:b/>
              </w:rPr>
            </w:pPr>
            <w:r w:rsidRPr="004F2968">
              <w:rPr>
                <w:rFonts w:cs="Times New Roman"/>
                <w:b/>
                <w:u w:val="single"/>
              </w:rPr>
              <w:t>BƯỚ</w:t>
            </w:r>
            <w:r w:rsidR="000A4AAF">
              <w:rPr>
                <w:rFonts w:cs="Times New Roman"/>
                <w:b/>
                <w:u w:val="single"/>
              </w:rPr>
              <w:t xml:space="preserve">C </w:t>
            </w:r>
            <w:r w:rsidRPr="004F2968">
              <w:rPr>
                <w:rFonts w:cs="Times New Roman"/>
                <w:b/>
                <w:u w:val="single"/>
              </w:rPr>
              <w:t>5</w:t>
            </w:r>
            <w:r w:rsidRPr="007A2CBC">
              <w:rPr>
                <w:rFonts w:cs="Times New Roman"/>
                <w:b/>
              </w:rPr>
              <w:t>: QUYẾT TOÁN VỐN</w:t>
            </w:r>
          </w:p>
        </w:tc>
        <w:tc>
          <w:tcPr>
            <w:tcW w:w="5760" w:type="dxa"/>
          </w:tcPr>
          <w:p w:rsidR="00464B66" w:rsidRPr="00FD52F8" w:rsidRDefault="00464B66" w:rsidP="00D2199A">
            <w:pPr>
              <w:rPr>
                <w:rFonts w:cs="Times New Roman"/>
              </w:rPr>
            </w:pPr>
            <w:r>
              <w:rPr>
                <w:rFonts w:cs="Times New Roman"/>
              </w:rPr>
              <w:t>Sau khi kết thúc thời gian hỗ trợ lãi suất của dự án, Chủ đầu tư thực hiện quyết toán vốn đối với phần được ngân sách hỗ trợ tại Sở Tài Chính.</w:t>
            </w:r>
          </w:p>
        </w:tc>
        <w:tc>
          <w:tcPr>
            <w:tcW w:w="4770" w:type="dxa"/>
          </w:tcPr>
          <w:p w:rsidR="00464B66" w:rsidRDefault="00464B66" w:rsidP="0098098E">
            <w:pPr>
              <w:rPr>
                <w:rFonts w:cs="Times New Roman"/>
              </w:rPr>
            </w:pPr>
            <w:r>
              <w:rPr>
                <w:rFonts w:cs="Times New Roman"/>
              </w:rPr>
              <w:t>Chủ đầu tư</w:t>
            </w:r>
          </w:p>
        </w:tc>
      </w:tr>
    </w:tbl>
    <w:p w:rsidR="00464B66" w:rsidRDefault="00464B66" w:rsidP="009D70D2"/>
    <w:sectPr w:rsidR="00464B66" w:rsidSect="009D70D2">
      <w:pgSz w:w="15840" w:h="12240" w:orient="landscape"/>
      <w:pgMar w:top="1440" w:right="1080" w:bottom="12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A48" w:rsidRDefault="00457A48" w:rsidP="00464B66">
      <w:pPr>
        <w:spacing w:after="0" w:line="240" w:lineRule="auto"/>
      </w:pPr>
      <w:r>
        <w:separator/>
      </w:r>
    </w:p>
  </w:endnote>
  <w:endnote w:type="continuationSeparator" w:id="0">
    <w:p w:rsidR="00457A48" w:rsidRDefault="00457A48" w:rsidP="00464B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A48" w:rsidRDefault="00457A48" w:rsidP="00464B66">
      <w:pPr>
        <w:spacing w:after="0" w:line="240" w:lineRule="auto"/>
      </w:pPr>
      <w:r>
        <w:separator/>
      </w:r>
    </w:p>
  </w:footnote>
  <w:footnote w:type="continuationSeparator" w:id="0">
    <w:p w:rsidR="00457A48" w:rsidRDefault="00457A48" w:rsidP="00464B6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30"/>
  <w:displayHorizontalDrawingGridEvery w:val="2"/>
  <w:characterSpacingControl w:val="doNotCompress"/>
  <w:footnotePr>
    <w:footnote w:id="-1"/>
    <w:footnote w:id="0"/>
  </w:footnotePr>
  <w:endnotePr>
    <w:endnote w:id="-1"/>
    <w:endnote w:id="0"/>
  </w:endnotePr>
  <w:compat/>
  <w:rsids>
    <w:rsidRoot w:val="00464B66"/>
    <w:rsid w:val="000A4AAF"/>
    <w:rsid w:val="001C48F6"/>
    <w:rsid w:val="002A21D5"/>
    <w:rsid w:val="00391588"/>
    <w:rsid w:val="00457A48"/>
    <w:rsid w:val="00464B66"/>
    <w:rsid w:val="0059411E"/>
    <w:rsid w:val="00746205"/>
    <w:rsid w:val="007549A6"/>
    <w:rsid w:val="007834E1"/>
    <w:rsid w:val="0098098E"/>
    <w:rsid w:val="009D70D2"/>
    <w:rsid w:val="00B0566D"/>
    <w:rsid w:val="00C34CF1"/>
    <w:rsid w:val="00CE0B7F"/>
    <w:rsid w:val="00E0425B"/>
    <w:rsid w:val="00EC2D14"/>
    <w:rsid w:val="00ED46C5"/>
    <w:rsid w:val="00EE7DC0"/>
    <w:rsid w:val="00F967DE"/>
    <w:rsid w:val="00FE2C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B66"/>
    <w:pPr>
      <w:spacing w:after="120" w:line="324" w:lineRule="auto"/>
      <w:contextualSpacing/>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4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64B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64B66"/>
    <w:rPr>
      <w:rFonts w:ascii="Times New Roman" w:hAnsi="Times New Roman"/>
      <w:sz w:val="26"/>
    </w:rPr>
  </w:style>
  <w:style w:type="paragraph" w:styleId="Footer">
    <w:name w:val="footer"/>
    <w:basedOn w:val="Normal"/>
    <w:link w:val="FooterChar"/>
    <w:uiPriority w:val="99"/>
    <w:semiHidden/>
    <w:unhideWhenUsed/>
    <w:rsid w:val="00464B6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64B66"/>
    <w:rPr>
      <w:rFonts w:ascii="Times New Roman" w:hAnsi="Times New Roman"/>
      <w:sz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610</Words>
  <Characters>3477</Characters>
  <Application>Microsoft Office Word</Application>
  <DocSecurity>0</DocSecurity>
  <Lines>28</Lines>
  <Paragraphs>8</Paragraphs>
  <ScaleCrop>false</ScaleCrop>
  <Company/>
  <LinksUpToDate>false</LinksUpToDate>
  <CharactersWithSpaces>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luan.dh</dc:creator>
  <cp:lastModifiedBy>luan.dh</cp:lastModifiedBy>
  <cp:revision>28</cp:revision>
  <dcterms:created xsi:type="dcterms:W3CDTF">2021-02-26T06:42:00Z</dcterms:created>
  <dcterms:modified xsi:type="dcterms:W3CDTF">2021-02-26T06:55:00Z</dcterms:modified>
</cp:coreProperties>
</file>